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4">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фотоэлектрический П</w:t>
      </w:r>
      <w:r>
        <w:rPr>
          <w:rFonts w:cs="Times New Roman" w:ascii="Times New Roman" w:hAnsi="Times New Roman"/>
          <w:b/>
          <w:sz w:val="28"/>
        </w:rPr>
        <w:t>Ф1-4</w:t>
      </w:r>
    </w:p>
    <w:p>
      <w:pPr>
        <w:pStyle w:val="Normal"/>
        <w:ind w:hanging="567" w:end="0"/>
        <w:jc w:val="center"/>
        <w:rPr>
          <w:rFonts w:ascii="Times New Roman" w:hAnsi="Times New Roman" w:cs="Times New Roman"/>
          <w:b/>
          <w:sz w:val="28"/>
        </w:rPr>
      </w:pPr>
      <w:r>
        <w:rPr>
          <w:rFonts w:cs="Times New Roman" w:ascii="Times New Roman" w:hAnsi="Times New Roman"/>
          <w:b/>
          <w:sz w:val="28"/>
        </w:rPr>
        <w:t>ИВПС.203.581.130      зав. № 514</w:t>
      </w:r>
    </w:p>
    <w:p>
      <w:pPr>
        <w:pStyle w:val="Heading1"/>
        <w:ind w:hanging="567" w:start="0" w:end="0"/>
        <w:rPr>
          <w:b/>
          <w:i w:val="false"/>
          <w:i w:val="false"/>
        </w:rPr>
      </w:pPr>
      <w:r>
        <w:rPr>
          <w:b/>
          <w:i w:val="false"/>
        </w:rPr>
        <w:t>Паспорт</w:t>
      </w:r>
    </w:p>
    <w:p>
      <w:pPr>
        <w:pStyle w:val="Normal"/>
        <w:ind w:firstLine="567" w:end="0"/>
        <w:jc w:val="center"/>
        <w:rPr>
          <w:b/>
          <w:i/>
          <w:i/>
          <w:sz w:val="16"/>
          <w:szCs w:val="16"/>
        </w:rPr>
      </w:pPr>
      <w:r>
        <w:rPr>
          <w:b/>
          <w:i/>
          <w:sz w:val="16"/>
          <w:szCs w:val="16"/>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фотоэлектрического П</w:t>
      </w:r>
      <w:r>
        <w:rPr>
          <w:rFonts w:cs="Times New Roman" w:ascii="Times New Roman" w:hAnsi="Times New Roman"/>
        </w:rPr>
        <w:t>Ф1-4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2 Назначение</w:t>
      </w:r>
    </w:p>
    <w:p>
      <w:pPr>
        <w:pStyle w:val="Normal"/>
        <w:ind w:firstLine="567" w:end="0"/>
        <w:jc w:val="both"/>
        <w:rPr>
          <w:rFonts w:ascii="Times New Roman" w:hAnsi="Times New Roman" w:cs="Times New Roman"/>
        </w:rPr>
      </w:pPr>
      <w:r>
        <w:rPr>
          <w:rFonts w:cs="Times New Roman" w:ascii="Times New Roman" w:hAnsi="Times New Roman"/>
        </w:rPr>
        <w:t>Преобразовател</w:t>
      </w:r>
      <w:r>
        <w:rPr/>
        <w:t>ь П</w:t>
      </w:r>
      <w:r>
        <w:rPr>
          <w:rFonts w:cs="Times New Roman" w:ascii="Times New Roman" w:hAnsi="Times New Roman"/>
        </w:rPr>
        <w:t>Ф1-4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center"/>
        <w:rPr>
          <w:rFonts w:ascii="Times New Roman" w:hAnsi="Times New Roman" w:cs="Times New Roman"/>
          <w:b/>
          <w:sz w:val="16"/>
          <w:szCs w:val="16"/>
        </w:rPr>
      </w:pPr>
      <w:r>
        <w:rPr>
          <w:rFonts w:cs="Times New Roman" w:ascii="Times New Roman" w:hAnsi="Times New Roman"/>
          <w:b/>
          <w:sz w:val="16"/>
          <w:szCs w:val="16"/>
        </w:rPr>
      </w:r>
    </w:p>
    <w:tbl>
      <w:tblPr>
        <w:tblW w:w="10632" w:type="dxa"/>
        <w:jc w:val="start"/>
        <w:tblInd w:w="108" w:type="dxa"/>
        <w:tblLayout w:type="fixed"/>
        <w:tblCellMar>
          <w:top w:w="0" w:type="dxa"/>
          <w:start w:w="108" w:type="dxa"/>
          <w:bottom w:w="0" w:type="dxa"/>
          <w:end w:w="108" w:type="dxa"/>
        </w:tblCellMar>
      </w:tblPr>
      <w:tblGrid>
        <w:gridCol w:w="1843"/>
        <w:gridCol w:w="4537"/>
        <w:gridCol w:w="708"/>
        <w:gridCol w:w="709"/>
        <w:gridCol w:w="709"/>
        <w:gridCol w:w="708"/>
        <w:gridCol w:w="709"/>
        <w:gridCol w:w="709"/>
      </w:tblGrid>
      <w:tr>
        <w:trPr>
          <w:trHeight w:val="278" w:hRule="atLeast"/>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Спектральный диапазон</w:t>
            </w:r>
            <w:r>
              <w:rPr>
                <w:lang w:val="en-US"/>
              </w:rPr>
              <w:t xml:space="preserve"> </w:t>
            </w:r>
            <w:r>
              <w:rPr/>
              <w:t>(мкм)</w:t>
            </w:r>
            <w:r>
              <w:rPr>
                <w:sz w:val="24"/>
                <w:szCs w:val="24"/>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0</w:t>
            </w:r>
            <w:r>
              <w:rPr>
                <w:lang w:val="en-US"/>
              </w:rPr>
              <w:t>,</w:t>
            </w:r>
            <w:r>
              <w:rPr/>
              <w:t xml:space="preserve">3 - 1,1 </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Апертура</w:t>
            </w:r>
            <w:r>
              <w:rPr>
                <w:rFonts w:cs="Times New Roman" w:ascii="Times New Roman" w:hAnsi="Times New Roman"/>
              </w:rPr>
              <w:t xml:space="preserve"> (мм)</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lang w:val="en-US"/>
              </w:rPr>
            </w:pPr>
            <w:r>
              <w:rPr>
                <w:rFonts w:cs="Tahoma" w:ascii="Tahoma" w:hAnsi="Tahoma"/>
                <w:sz w:val="16"/>
              </w:rPr>
              <w:t>Ø</w:t>
            </w:r>
            <w:r>
              <w:rPr>
                <w:i/>
              </w:rPr>
              <w:t xml:space="preserve"> </w:t>
            </w:r>
            <w:r>
              <w:rPr>
                <w:rFonts w:cs="Times New Roman" w:ascii="Times New Roman" w:hAnsi="Times New Roman"/>
                <w:lang w:val="en-US"/>
              </w:rPr>
              <w:t>86</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энергии импульса излучения (Дж)</w:t>
            </w:r>
            <w:r>
              <w:rPr>
                <w:b/>
                <w:sz w:val="24"/>
                <w:szCs w:val="24"/>
              </w:rPr>
              <w:t>**</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0,0</w:t>
            </w:r>
            <w:r>
              <w:rPr>
                <w:lang w:val="en-US"/>
              </w:rPr>
              <w:t>2</w:t>
            </w:r>
            <w:r>
              <w:rPr/>
              <w:t xml:space="preserve"> … 3</w:t>
            </w:r>
            <w:r>
              <w:rPr>
                <w:rFonts w:cs="Times New Roman" w:ascii="Times New Roman" w:hAnsi="Times New Roman"/>
              </w:rPr>
              <w:t>∙</w:t>
            </w:r>
            <w:r>
              <w:rPr/>
              <w:t>10</w:t>
            </w:r>
            <w:r>
              <w:rPr>
                <w:vertAlign w:val="superscript"/>
              </w:rPr>
              <w:t>4</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мощности лазерного излучения</w:t>
            </w:r>
            <w:r>
              <w:rPr/>
              <w:t xml:space="preserve"> </w:t>
            </w:r>
            <w:r>
              <w:rPr>
                <w:rFonts w:cs="Times New Roman" w:ascii="Times New Roman" w:hAnsi="Times New Roman"/>
              </w:rPr>
              <w:t>(Вт)</w:t>
            </w:r>
            <w:r>
              <w:rPr>
                <w:b/>
                <w:sz w:val="24"/>
                <w:szCs w:val="24"/>
              </w:rPr>
              <w:t>**</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10 … 10</w:t>
            </w:r>
            <w:r>
              <w:rPr>
                <w:vertAlign w:val="superscript"/>
              </w:rPr>
              <w:t>4</w:t>
            </w:r>
          </w:p>
        </w:tc>
      </w:tr>
      <w:tr>
        <w:trPr>
          <w:trHeight w:val="490" w:hRule="atLeast"/>
          <w:cantSplit w:val="true"/>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rFonts w:ascii="Times New Roman" w:hAnsi="Times New Roman" w:cs="Times New Roman"/>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100</w:t>
            </w:r>
          </w:p>
          <w:p>
            <w:pPr>
              <w:pStyle w:val="Normal"/>
              <w:ind w:firstLine="33" w:end="0"/>
              <w:rPr/>
            </w:pPr>
            <w:r>
              <w:rPr/>
              <w:t>≥</w:t>
            </w:r>
            <w:r>
              <w:rPr/>
              <w:t>100</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3</w:t>
            </w:r>
          </w:p>
          <w:p>
            <w:pPr>
              <w:pStyle w:val="Normal"/>
              <w:ind w:firstLine="33" w:end="0"/>
              <w:rPr/>
            </w:pPr>
            <w:r>
              <w:rPr/>
              <w:t>1</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1843" w:type="dxa"/>
            <w:tcBorders>
              <w:top w:val="single" w:sz="4" w:space="0" w:color="000000"/>
              <w:start w:val="single" w:sz="4" w:space="0" w:color="000000"/>
              <w:bottom w:val="single" w:sz="4" w:space="0" w:color="000000"/>
              <w:end w:val="single" w:sz="4" w:space="0" w:color="000000"/>
            </w:tcBorders>
          </w:tcPr>
          <w:p>
            <w:pPr>
              <w:pStyle w:val="Normal"/>
              <w:spacing w:before="240" w:after="0"/>
              <w:rPr/>
            </w:pPr>
            <w:r>
              <w:rPr/>
              <w:t>Чувствительность на длине волны:</w:t>
            </w:r>
            <w:r>
              <w:rPr>
                <w:rFonts w:cs="Times New Roman" w:ascii="Times New Roman" w:hAnsi="Times New Roman"/>
              </w:rPr>
              <w:t xml:space="preserve"> </w:t>
            </w:r>
            <w:r>
              <w:rPr/>
              <w:t xml:space="preserve"> </w:t>
            </w:r>
          </w:p>
        </w:tc>
        <w:tc>
          <w:tcPr>
            <w:tcW w:w="4537" w:type="dxa"/>
            <w:tcBorders>
              <w:top w:val="single" w:sz="4" w:space="0" w:color="000000"/>
              <w:start w:val="single" w:sz="4" w:space="0" w:color="000000"/>
              <w:bottom w:val="single" w:sz="4" w:space="0" w:color="000000"/>
              <w:end w:val="single" w:sz="4" w:space="0" w:color="000000"/>
            </w:tcBorders>
          </w:tcPr>
          <w:p>
            <w:pPr>
              <w:pStyle w:val="Normal"/>
              <w:spacing w:before="120" w:after="0"/>
              <w:jc w:val="center"/>
              <w:rPr>
                <w:rFonts w:ascii="Times New Roman" w:hAnsi="Times New Roman" w:cs="Times New Roman"/>
              </w:rPr>
            </w:pPr>
            <w:r>
              <w:rPr>
                <w:rFonts w:cs="Times New Roman" w:ascii="Times New Roman" w:hAnsi="Times New Roman"/>
              </w:rPr>
              <w:t>при измерении мощности с РИЦ822</w:t>
            </w:r>
          </w:p>
          <w:p>
            <w:pPr>
              <w:pStyle w:val="Normal"/>
              <w:spacing w:before="120" w:after="0"/>
              <w:jc w:val="center"/>
              <w:rPr>
                <w:rFonts w:ascii="Times New Roman" w:hAnsi="Times New Roman" w:cs="Times New Roman"/>
              </w:rPr>
            </w:pPr>
            <w:r>
              <w:rPr>
                <w:rFonts w:cs="Times New Roman" w:ascii="Times New Roman" w:hAnsi="Times New Roman"/>
              </w:rPr>
              <w:t>(ЕМР/Вт)</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spacing w:before="60" w:after="0"/>
              <w:jc w:val="center"/>
              <w:rPr>
                <w:rFonts w:ascii="Times New Roman" w:hAnsi="Times New Roman" w:cs="Times New Roman"/>
              </w:rPr>
            </w:pPr>
            <w:r>
              <w:rPr>
                <w:rFonts w:cs="Times New Roman" w:ascii="Times New Roman" w:hAnsi="Times New Roman"/>
              </w:rPr>
              <w:t>при измерении энергии с РИЦ822 по площади,</w:t>
            </w:r>
          </w:p>
          <w:p>
            <w:pPr>
              <w:pStyle w:val="Normal"/>
              <w:spacing w:before="60" w:after="0"/>
              <w:jc w:val="center"/>
              <w:rPr>
                <w:rFonts w:ascii="Times New Roman" w:hAnsi="Times New Roman" w:cs="Times New Roman"/>
              </w:rPr>
            </w:pPr>
            <w:r>
              <w:rPr>
                <w:rFonts w:cs="Times New Roman" w:ascii="Times New Roman" w:hAnsi="Times New Roman"/>
              </w:rPr>
              <w:t>период измерений 4 мкс</w:t>
            </w:r>
          </w:p>
          <w:p>
            <w:pPr>
              <w:pStyle w:val="Normal"/>
              <w:spacing w:before="60" w:after="0"/>
              <w:jc w:val="center"/>
              <w:rPr>
                <w:rFonts w:ascii="Times New Roman" w:hAnsi="Times New Roman" w:cs="Times New Roman"/>
              </w:rPr>
            </w:pPr>
            <w:r>
              <w:rPr>
                <w:rFonts w:cs="Times New Roman" w:ascii="Times New Roman" w:hAnsi="Times New Roman"/>
              </w:rPr>
              <w:t>(ЕМР/Дж)</w:t>
            </w:r>
          </w:p>
        </w:tc>
      </w:tr>
      <w:tr>
        <w:trPr/>
        <w:tc>
          <w:tcPr>
            <w:tcW w:w="1843" w:type="dxa"/>
            <w:tcBorders>
              <w:top w:val="single" w:sz="4" w:space="0" w:color="000000"/>
              <w:start w:val="single" w:sz="4" w:space="0" w:color="000000"/>
              <w:bottom w:val="single" w:sz="4" w:space="0" w:color="000000"/>
              <w:end w:val="single" w:sz="4" w:space="0" w:color="000000"/>
            </w:tcBorders>
          </w:tcPr>
          <w:p>
            <w:pPr>
              <w:pStyle w:val="Normal"/>
              <w:jc w:val="center"/>
              <w:rPr/>
            </w:pPr>
            <w:r>
              <w:rPr/>
              <w:t>532 нм</w:t>
            </w:r>
          </w:p>
        </w:tc>
        <w:tc>
          <w:tcPr>
            <w:tcW w:w="4537" w:type="dxa"/>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rPr>
            </w:pPr>
            <w:r>
              <w:rPr>
                <w:rFonts w:cs="Arial" w:ascii="Times New Roman" w:hAnsi="Times New Roman"/>
              </w:rPr>
              <w:t>1,11</w:t>
            </w:r>
          </w:p>
        </w:tc>
        <w:tc>
          <w:tcPr>
            <w:tcW w:w="4252" w:type="dxa"/>
            <w:gridSpan w:val="6"/>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lang w:val="en-US"/>
              </w:rPr>
            </w:pPr>
            <w:r>
              <w:rPr>
                <w:rFonts w:cs="Arial" w:ascii="Times New Roman" w:hAnsi="Times New Roman"/>
              </w:rPr>
              <w:t>278153</w:t>
            </w:r>
          </w:p>
        </w:tc>
      </w:tr>
      <w:tr>
        <w:trPr/>
        <w:tc>
          <w:tcPr>
            <w:tcW w:w="1843" w:type="dxa"/>
            <w:tcBorders>
              <w:top w:val="single" w:sz="4" w:space="0" w:color="000000"/>
              <w:start w:val="single" w:sz="4" w:space="0" w:color="000000"/>
              <w:bottom w:val="single" w:sz="4" w:space="0" w:color="000000"/>
              <w:end w:val="single" w:sz="4" w:space="0" w:color="000000"/>
            </w:tcBorders>
          </w:tcPr>
          <w:p>
            <w:pPr>
              <w:pStyle w:val="Normal"/>
              <w:jc w:val="center"/>
              <w:rPr/>
            </w:pPr>
            <w:r>
              <w:rPr/>
              <w:t>1064 нм</w:t>
            </w:r>
          </w:p>
        </w:tc>
        <w:tc>
          <w:tcPr>
            <w:tcW w:w="4537" w:type="dxa"/>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rPr>
            </w:pPr>
            <w:r>
              <w:rPr>
                <w:rFonts w:cs="Arial" w:ascii="Times New Roman" w:hAnsi="Times New Roman"/>
              </w:rPr>
              <w:t>1,24</w:t>
            </w:r>
          </w:p>
        </w:tc>
        <w:tc>
          <w:tcPr>
            <w:tcW w:w="4252" w:type="dxa"/>
            <w:gridSpan w:val="6"/>
            <w:tcBorders>
              <w:top w:val="single" w:sz="4" w:space="0" w:color="000000"/>
              <w:start w:val="single" w:sz="4" w:space="0" w:color="000000"/>
              <w:bottom w:val="single" w:sz="4" w:space="0" w:color="000000"/>
              <w:end w:val="single" w:sz="4" w:space="0" w:color="000000"/>
            </w:tcBorders>
            <w:vAlign w:val="bottom"/>
          </w:tcPr>
          <w:p>
            <w:pPr>
              <w:pStyle w:val="Normal"/>
              <w:jc w:val="center"/>
              <w:rPr>
                <w:rFonts w:ascii="Times New Roman" w:hAnsi="Times New Roman" w:cs="Arial"/>
              </w:rPr>
            </w:pPr>
            <w:r>
              <w:rPr>
                <w:rFonts w:cs="Arial" w:ascii="Times New Roman" w:hAnsi="Times New Roman"/>
              </w:rPr>
              <w:t>309059</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Длительность импульсной характеристики, не более </w:t>
            </w:r>
            <w:r>
              <w:rPr>
                <w:rFonts w:cs="Times New Roman" w:ascii="Times New Roman" w:hAnsi="Times New Roman"/>
              </w:rPr>
              <w:t>(мс)</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Основная относительная погрешность измерения мощности и энергии</w:t>
            </w:r>
            <w:r>
              <w:rPr>
                <w:rFonts w:cs="Times New Roman" w:ascii="Times New Roman" w:hAnsi="Times New Roman"/>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10 </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 xml:space="preserve">Габаритные размеры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6380" w:type="dxa"/>
            <w:gridSpan w:val="2"/>
            <w:tcBorders>
              <w:top w:val="single" w:sz="4" w:space="0" w:color="000000"/>
              <w:start w:val="single" w:sz="4" w:space="0" w:color="000000"/>
              <w:bottom w:val="single" w:sz="4" w:space="0" w:color="000000"/>
              <w:end w:val="single" w:sz="4" w:space="0" w:color="000000"/>
            </w:tcBorders>
          </w:tcPr>
          <w:p>
            <w:pPr>
              <w:pStyle w:val="Normal"/>
              <w:rPr/>
            </w:pPr>
            <w:r>
              <w:rPr/>
              <w:t xml:space="preserve">Масса </w:t>
            </w:r>
            <w:r>
              <w:rPr>
                <w:rFonts w:cs="Times New Roman" w:ascii="Times New Roman" w:hAnsi="Times New Roman"/>
                <w:lang w:val="en-US"/>
              </w:rPr>
              <w:t>(</w:t>
            </w:r>
            <w:r>
              <w:rPr>
                <w:rFonts w:cs="Times New Roman" w:ascii="Times New Roman" w:hAnsi="Times New Roman"/>
              </w:rPr>
              <w:t>к</w:t>
            </w:r>
            <w:r>
              <w:rPr>
                <w:rFonts w:cs="Times New Roman" w:ascii="Times New Roman" w:hAnsi="Times New Roman"/>
                <w:lang w:val="en-US"/>
              </w:rPr>
              <w:t>г</w:t>
            </w:r>
            <w:r>
              <w:rPr>
                <w:rFonts w:cs="Times New Roman" w:ascii="Times New Roman" w:hAnsi="Times New Roman"/>
              </w:rPr>
              <w:t>)</w:t>
            </w:r>
            <w:r>
              <w:rPr>
                <w:rFonts w:cs="Times New Roman" w:ascii="Times New Roman" w:hAnsi="Times New Roman"/>
                <w:lang w:val="en-US"/>
              </w:rPr>
              <w:t xml:space="preserve"> </w:t>
            </w:r>
          </w:p>
        </w:tc>
        <w:tc>
          <w:tcPr>
            <w:tcW w:w="4252"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rFonts w:ascii="Times New Roman" w:hAnsi="Times New Roman" w:cs="Times New Roman"/>
                <w:lang w:val="en-US"/>
              </w:rPr>
            </w:pPr>
            <w:r>
              <w:rPr>
                <w:rFonts w:cs="Times New Roman" w:ascii="Times New Roman" w:hAnsi="Times New Roman"/>
              </w:rPr>
              <w:t>1,</w:t>
            </w:r>
            <w:r>
              <w:rPr>
                <w:rFonts w:cs="Times New Roman" w:ascii="Times New Roman" w:hAnsi="Times New Roman"/>
                <w:lang w:val="en-US"/>
              </w:rPr>
              <w:t>5</w:t>
            </w:r>
          </w:p>
        </w:tc>
      </w:tr>
    </w:tbl>
    <w:p>
      <w:pPr>
        <w:pStyle w:val="Normal"/>
        <w:jc w:val="both"/>
        <w:rPr>
          <w:b/>
          <w:sz w:val="16"/>
          <w:szCs w:val="16"/>
        </w:rPr>
      </w:pPr>
      <w:r>
        <w:rPr>
          <w:b/>
          <w:sz w:val="16"/>
          <w:szCs w:val="16"/>
        </w:rPr>
      </w:r>
    </w:p>
    <w:p>
      <w:pPr>
        <w:pStyle w:val="Normal"/>
        <w:jc w:val="both"/>
        <w:rPr/>
      </w:pPr>
      <w:r>
        <w:rPr>
          <w:b/>
          <w:sz w:val="24"/>
          <w:szCs w:val="24"/>
        </w:rPr>
        <w:t>*</w:t>
      </w:r>
      <w:r>
        <w:rPr/>
        <w:t xml:space="preserve">Преобразователь прокалиброван на длинах волн 532 нм и 1,064 нм. На других длинах волн преобразователь может использоваться для относительных измерений (временных зависимостей, пропускания светофильтров и пр.). </w:t>
      </w:r>
    </w:p>
    <w:p>
      <w:pPr>
        <w:pStyle w:val="Normal"/>
        <w:jc w:val="both"/>
        <w:rPr/>
      </w:pPr>
      <w:r>
        <w:drawing>
          <wp:anchor behindDoc="1" distT="0" distB="0" distL="114935" distR="114935" simplePos="0" locked="0" layoutInCell="0" allowOverlap="1" relativeHeight="2">
            <wp:simplePos x="0" y="0"/>
            <wp:positionH relativeFrom="column">
              <wp:posOffset>-2540</wp:posOffset>
            </wp:positionH>
            <wp:positionV relativeFrom="paragraph">
              <wp:posOffset>506095</wp:posOffset>
            </wp:positionV>
            <wp:extent cx="2122170" cy="2221230"/>
            <wp:effectExtent l="0" t="0" r="0" b="0"/>
            <wp:wrapTight wrapText="bothSides">
              <wp:wrapPolygon edited="0">
                <wp:start x="-95" y="0"/>
                <wp:lineTo x="-95" y="21504"/>
                <wp:lineTo x="21600" y="21504"/>
                <wp:lineTo x="21600" y="0"/>
                <wp:lineTo x="-95" y="0"/>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6" t="-6" r="-6" b="-6"/>
                    <a:stretch>
                      <a:fillRect/>
                    </a:stretch>
                  </pic:blipFill>
                  <pic:spPr bwMode="auto">
                    <a:xfrm>
                      <a:off x="0" y="0"/>
                      <a:ext cx="2122170" cy="2221230"/>
                    </a:xfrm>
                    <a:prstGeom prst="rect">
                      <a:avLst/>
                    </a:prstGeom>
                  </pic:spPr>
                </pic:pic>
              </a:graphicData>
            </a:graphic>
          </wp:anchor>
        </w:drawing>
      </w:r>
      <w:r>
        <w:rPr>
          <w:b/>
          <w:sz w:val="24"/>
          <w:szCs w:val="24"/>
        </w:rPr>
        <w:t>**</w:t>
      </w:r>
      <w:r>
        <w:rPr/>
        <w:t>Указаны полные диапазоны измерения, однако измерение мощности возможно только при длительности импульса более 10мс,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неохлаждаемым прибором (у него отсутствует внешнее жидкостное охлаждение). Поэтому он рассчитан на периодические, относительно кратковременные измерения мощности продолжительностью не более 1 минуты с последующими перерывами. При непрерывной длительной эксплуатации, для обеспечения внутреннего термодинамического баланса Преобразователя, необходимо, чтобы средняя мощность поступающего на него излучения не превышала 5 Вт.</w:t>
      </w:r>
    </w:p>
    <w:p>
      <w:pPr>
        <w:pStyle w:val="Normal"/>
        <w:ind w:firstLine="567" w:end="0"/>
        <w:jc w:val="center"/>
        <w:rPr>
          <w:b/>
        </w:rPr>
      </w:pPr>
      <w:r>
        <w:rPr>
          <w:b/>
        </w:rPr>
      </w:r>
    </w:p>
    <w:p>
      <w:pPr>
        <w:pStyle w:val="Normal"/>
        <w:ind w:firstLine="567" w:end="0"/>
        <w:jc w:val="center"/>
        <w:rPr>
          <w:b/>
        </w:rPr>
      </w:pPr>
      <w:r>
        <w:rPr>
          <w:b/>
        </w:rPr>
        <w:t>4 Комплектность</w:t>
      </w:r>
    </w:p>
    <w:p>
      <w:pPr>
        <w:pStyle w:val="Normal"/>
        <w:ind w:firstLine="284" w:end="0"/>
        <w:rPr>
          <w:rFonts w:ascii="Times New Roman" w:hAnsi="Times New Roman" w:cs="Times New Roman"/>
        </w:rPr>
      </w:pPr>
      <w:r>
        <w:rPr/>
        <w:t>4.1 Преобразователь лазерного излучения фотоэлектрический П</w:t>
      </w:r>
      <w:r>
        <w:rPr>
          <w:rFonts w:cs="Times New Roman" w:ascii="Times New Roman" w:hAnsi="Times New Roman"/>
        </w:rPr>
        <w:t>Ф1-4</w:t>
      </w:r>
    </w:p>
    <w:p>
      <w:pPr>
        <w:pStyle w:val="Normal"/>
        <w:ind w:firstLine="284" w:end="0"/>
        <w:rPr/>
      </w:pPr>
      <w:r>
        <w:rPr>
          <w:rFonts w:cs="Times New Roman" w:ascii="Times New Roman" w:hAnsi="Times New Roman"/>
        </w:rPr>
        <w:t>зав. № 514.</w:t>
      </w:r>
    </w:p>
    <w:p>
      <w:pPr>
        <w:pStyle w:val="Normal"/>
        <w:ind w:firstLine="284" w:end="0"/>
        <w:rPr/>
      </w:pPr>
      <w:r>
        <w:rPr>
          <w:rFonts w:cs="Times New Roman" w:ascii="Times New Roman" w:hAnsi="Times New Roman"/>
        </w:rPr>
        <w:t>4.2 Адаптер ~220 В, 50 Гц/=5 В (для зарядки внутреннего аккумулятора).</w:t>
      </w:r>
    </w:p>
    <w:p>
      <w:pPr>
        <w:pStyle w:val="Normal"/>
        <w:ind w:firstLine="284" w:end="0"/>
        <w:rPr/>
      </w:pPr>
      <w:r>
        <w:rPr>
          <w:rFonts w:cs="Times New Roman" w:ascii="Times New Roman" w:hAnsi="Times New Roman"/>
        </w:rPr>
        <w:t>4.3 Кабель «ПФ1-4 - РИЦ822».</w:t>
      </w:r>
      <w:r>
        <mc:AlternateContent>
          <mc:Choice Requires="wps">
            <w:drawing>
              <wp:anchor behindDoc="1" distT="0" distB="0" distL="114935" distR="114935" simplePos="0" locked="0" layoutInCell="1" allowOverlap="1" relativeHeight="3">
                <wp:simplePos x="0" y="0"/>
                <wp:positionH relativeFrom="column">
                  <wp:posOffset>5520055</wp:posOffset>
                </wp:positionH>
                <wp:positionV relativeFrom="paragraph">
                  <wp:posOffset>11430</wp:posOffset>
                </wp:positionV>
                <wp:extent cx="698500" cy="307340"/>
                <wp:effectExtent l="0" t="0" r="0" b="0"/>
                <wp:wrapNone/>
                <wp:docPr id="163" name="Frame1"/>
                <a:graphic xmlns:a="http://schemas.openxmlformats.org/drawingml/2006/main">
                  <a:graphicData uri="http://schemas.microsoft.com/office/word/2010/wordprocessingShape">
                    <wps:wsp>
                      <wps:cNvSpPr txBox="1"/>
                      <wps:spPr>
                        <a:xfrm>
                          <a:off x="0" y="0"/>
                          <a:ext cx="698500" cy="307340"/>
                        </a:xfrm>
                        <a:prstGeom prst="rect"/>
                        <a:solidFill>
                          <a:srgbClr val="FFFFFF">
                            <a:alpha val="0"/>
                          </a:srgbClr>
                        </a:solidFill>
                      </wps:spPr>
                      <wps:txbx>
                        <w:txbxContent>
                          <w:p>
                            <w:pPr>
                              <w:pStyle w:val="Normal"/>
                              <w:rPr/>
                            </w:pPr>
                            <w:r>
                              <w:rPr>
                                <w:rFonts w:cs="Symbol" w:ascii="Symbol" w:hAnsi="Symbol"/>
                                <w:lang w:val="en-US"/>
                              </w:rPr>
                              <w:sym w:font="Symbol" w:char="f06c"/>
                            </w:r>
                            <w:r>
                              <w:rPr>
                                <w:lang w:val="en-US"/>
                              </w:rPr>
                              <w:t>,</w:t>
                            </w:r>
                            <w:r>
                              <w:rPr/>
                              <w:t xml:space="preserve"> нм</w:t>
                            </w:r>
                          </w:p>
                        </w:txbxContent>
                      </wps:txbx>
                      <wps:bodyPr anchor="t" lIns="92075" tIns="46355" rIns="92075" bIns="46355">
                        <a:noAutofit/>
                      </wps:bodyPr>
                    </wps:wsp>
                  </a:graphicData>
                </a:graphic>
              </wp:anchor>
            </w:drawing>
          </mc:Choice>
          <mc:Fallback>
            <w:pict>
              <v:rect fillcolor="#FFFFFF" style="position:absolute;rotation:-0;width:55pt;height:24.2pt;mso-wrap-distance-left:9.05pt;mso-wrap-distance-right:9.05pt;mso-wrap-distance-top:0pt;mso-wrap-distance-bottom:0pt;margin-top:0.9pt;mso-position-vertical-relative:text;margin-left:434.65pt;mso-position-horizontal-relative:text">
                <v:fill opacity="0f"/>
                <v:textbox inset="0.100694444444444in,0.0506944444444444in,0.100694444444444in,0.0506944444444444in">
                  <w:txbxContent>
                    <w:p>
                      <w:pPr>
                        <w:pStyle w:val="Normal"/>
                        <w:rPr/>
                      </w:pPr>
                      <w:r>
                        <w:rPr>
                          <w:rFonts w:cs="Symbol" w:ascii="Symbol" w:hAnsi="Symbol"/>
                          <w:lang w:val="en-US"/>
                        </w:rPr>
                        <w:sym w:font="Symbol" w:char="f06c"/>
                      </w:r>
                      <w:r>
                        <w:rPr>
                          <w:lang w:val="en-US"/>
                        </w:rPr>
                        <w:t>,</w:t>
                      </w:r>
                      <w:r>
                        <w:rPr/>
                        <w:t xml:space="preserve"> нм</w:t>
                      </w:r>
                    </w:p>
                  </w:txbxContent>
                </v:textbox>
                <w10:wrap type="none"/>
              </v:rect>
            </w:pict>
          </mc:Fallback>
        </mc:AlternateContent>
      </w:r>
    </w:p>
    <w:p>
      <w:pPr>
        <w:pStyle w:val="Normal"/>
        <w:ind w:firstLine="284" w:end="0"/>
        <w:rPr>
          <w:rFonts w:ascii="Times New Roman" w:hAnsi="Times New Roman" w:cs="Times New Roman"/>
        </w:rPr>
      </w:pPr>
      <w:r>
        <w:rPr>
          <w:rFonts w:cs="Times New Roman" w:ascii="Times New Roman" w:hAnsi="Times New Roman"/>
        </w:rPr>
        <w:t>4.4 Паспорт.</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t>5 Устройство и принцип действия.</w:t>
      </w:r>
    </w:p>
    <w:p>
      <w:pPr>
        <w:pStyle w:val="Normal"/>
        <w:ind w:firstLine="426"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Часть отраженного от стенок излучения поступает на четыре фотоприемника, расположенных внутри корпуса вокруг приемной апертуры. Сигналы фотоприемников усиливаются и суммируются, образуя тем самым общий сигнал, пропорциональный мощности (энергии) излучения, поступившего на приемную апертуру (как лазерного, так и фонового). Мощность лазерного излучения определяется по разности сигналов (суммарного и фонового). Энергия импульса излучения определяется цифровым интегрированием выходного импульсного сигнала Преобразователя.</w:t>
      </w:r>
    </w:p>
    <w:p>
      <w:pPr>
        <w:pStyle w:val="Normal"/>
        <w:ind w:firstLine="426" w:end="0"/>
        <w:jc w:val="both"/>
        <w:rPr/>
      </w:pPr>
      <w:r>
        <w:rPr/>
        <w:t>Под корпусом расположен блок питания и обработки сигнала. Блок имеет:</w:t>
      </w:r>
    </w:p>
    <w:p>
      <w:pPr>
        <w:pStyle w:val="Normal"/>
        <w:ind w:firstLine="426" w:end="0"/>
        <w:jc w:val="both"/>
        <w:rPr/>
      </w:pPr>
      <w:r>
        <w:rPr/>
        <w:t>- гнездо для подключения адаптера при зарядке внутреннего аккумулятора;</w:t>
      </w:r>
    </w:p>
    <w:p>
      <w:pPr>
        <w:pStyle w:val="Normal"/>
        <w:ind w:firstLine="426" w:end="0"/>
        <w:jc w:val="both"/>
        <w:rPr/>
      </w:pPr>
      <w:r>
        <w:rPr/>
        <w:t>- тумблер включения;</w:t>
      </w:r>
    </w:p>
    <w:p>
      <w:pPr>
        <w:pStyle w:val="Normal"/>
        <w:tabs>
          <w:tab w:val="clear" w:pos="708"/>
          <w:tab w:val="left" w:pos="0" w:leader="none"/>
        </w:tabs>
        <w:ind w:firstLine="426" w:end="0"/>
        <w:jc w:val="both"/>
        <w:rPr/>
      </w:pPr>
      <w:r>
        <w:rPr/>
        <w:t>- выходной разъем типа РС4;</w:t>
      </w:r>
    </w:p>
    <w:p>
      <w:pPr>
        <w:pStyle w:val="Normal"/>
        <w:tabs>
          <w:tab w:val="clear" w:pos="708"/>
          <w:tab w:val="left" w:pos="0" w:leader="none"/>
        </w:tabs>
        <w:ind w:firstLine="426" w:end="0"/>
        <w:jc w:val="both"/>
        <w:rPr/>
      </w:pPr>
      <w:r>
        <w:rPr/>
        <w:t>- два сигнальных светодиода (красный и зеленый).</w:t>
      </w:r>
    </w:p>
    <w:p>
      <w:pPr>
        <w:pStyle w:val="Normal"/>
        <w:ind w:firstLine="426" w:end="0"/>
        <w:jc w:val="both"/>
        <w:rPr/>
      </w:pPr>
      <w:r>
        <w:rPr/>
        <w:t>Преобразователь работает как от сети ~220 В, 50 Гц (через адаптер), так и от встроенного аккумулятора Li-ион. В заряженном состоянии при включении тумблера периодически (раз в несколько секунд)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w:t>
      </w:r>
    </w:p>
    <w:p>
      <w:pPr>
        <w:pStyle w:val="Normal"/>
        <w:ind w:firstLine="567" w:end="0"/>
        <w:jc w:val="center"/>
        <w:rPr>
          <w:b/>
          <w:sz w:val="16"/>
          <w:szCs w:val="16"/>
        </w:rPr>
      </w:pPr>
      <w:r>
        <w:rPr>
          <w:b/>
          <w:sz w:val="16"/>
          <w:szCs w:val="16"/>
        </w:rPr>
      </w:r>
    </w:p>
    <w:p>
      <w:pPr>
        <w:pStyle w:val="Normal"/>
        <w:ind w:firstLine="567" w:end="0"/>
        <w:jc w:val="center"/>
        <w:rPr>
          <w:b/>
        </w:rPr>
      </w:pPr>
      <w:r>
        <w:rPr>
          <w:b/>
        </w:rPr>
        <w:t>6 Указания по эксплуатации и хранению.</w:t>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 xml:space="preserve">6.2 Преобразователь необходимо оберегать от механических повреждений и каких-либо загрязнений защитного стекла на входной апертуре. </w:t>
      </w:r>
    </w:p>
    <w:p>
      <w:pPr>
        <w:pStyle w:val="Normal"/>
        <w:ind w:firstLine="567" w:end="0"/>
        <w:jc w:val="both"/>
        <w:rPr/>
      </w:pPr>
      <w:r>
        <w:rPr/>
        <w:t>6.3 Преобразователь имеет три резьбовых установочных отверстия: М6 (для установки на штатную платформу), 1/4 дюйма (для установки на стандартный штатив), а также М8 (для установки на какой-либо специальный кронштейн).</w:t>
      </w:r>
    </w:p>
    <w:p>
      <w:pPr>
        <w:pStyle w:val="Normal"/>
        <w:ind w:firstLine="567" w:end="0"/>
        <w:jc w:val="both"/>
        <w:rPr/>
      </w:pPr>
      <w:r>
        <w:rPr/>
        <w:t>6.4 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w:t>
      </w:r>
    </w:p>
    <w:p>
      <w:pPr>
        <w:pStyle w:val="Normal"/>
        <w:ind w:firstLine="567" w:end="0"/>
        <w:jc w:val="center"/>
        <w:rPr>
          <w:b/>
          <w:sz w:val="16"/>
          <w:szCs w:val="16"/>
        </w:rPr>
      </w:pPr>
      <w:r>
        <w:rPr>
          <w:b/>
          <w:sz w:val="16"/>
          <w:szCs w:val="16"/>
        </w:rPr>
      </w:r>
    </w:p>
    <w:p>
      <w:pPr>
        <w:pStyle w:val="Normal"/>
        <w:ind w:firstLine="567" w:end="0"/>
        <w:jc w:val="center"/>
        <w:rPr>
          <w:b/>
        </w:rPr>
      </w:pPr>
      <w:r>
        <w:rPr>
          <w:b/>
        </w:rPr>
        <w:t>7 Указания мер безопасности.</w:t>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center"/>
        <w:rPr>
          <w:b/>
        </w:rPr>
      </w:pPr>
      <w:r>
        <w:rPr>
          <w:b/>
        </w:rPr>
        <w:t>8 Порядок работы</w:t>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 xml:space="preserve">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коэффициента преобразования,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sz w:val="20"/>
        </w:rPr>
      </w:pPr>
      <w:r>
        <w:rPr>
          <w:sz w:val="20"/>
        </w:rPr>
        <w:t>В панели «Программа эксперимента»:</w:t>
      </w:r>
    </w:p>
    <w:p>
      <w:pPr>
        <w:pStyle w:val="BodyText"/>
        <w:ind w:firstLine="567" w:end="0"/>
        <w:jc w:val="both"/>
        <w:rPr>
          <w:sz w:val="20"/>
        </w:rPr>
      </w:pPr>
      <w:r>
        <w:rPr>
          <w:sz w:val="20"/>
        </w:rPr>
        <w:t>- установить время измерений «До пуска» не менее ожидаемой длительности импульса;</w:t>
      </w:r>
    </w:p>
    <w:p>
      <w:pPr>
        <w:pStyle w:val="BodyText"/>
        <w:ind w:firstLine="567" w:end="0"/>
        <w:jc w:val="both"/>
        <w:rPr>
          <w:sz w:val="20"/>
        </w:rPr>
      </w:pPr>
      <w:r>
        <w:rPr>
          <w:sz w:val="20"/>
        </w:rPr>
        <w:t>- 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установить период измерений 4 мкс.</w:t>
      </w:r>
    </w:p>
    <w:p>
      <w:pPr>
        <w:pStyle w:val="BodyText"/>
        <w:ind w:firstLine="567" w:end="0"/>
        <w:jc w:val="both"/>
        <w:rPr>
          <w:sz w:val="20"/>
        </w:rPr>
      </w:pPr>
      <w:r>
        <w:rPr>
          <w:sz w:val="20"/>
        </w:rPr>
        <w:t>Примечание: 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коэффициента преобразования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и энергии импульсов лазерного излучения.</w:t>
      </w:r>
    </w:p>
    <w:p>
      <w:pPr>
        <w:pStyle w:val="BodyText"/>
        <w:ind w:firstLine="567" w:end="0"/>
        <w:jc w:val="both"/>
        <w:rPr>
          <w:sz w:val="20"/>
        </w:rPr>
      </w:pPr>
      <w:r>
        <w:rPr>
          <w:sz w:val="20"/>
        </w:rPr>
      </w:r>
    </w:p>
    <w:p>
      <w:pPr>
        <w:pStyle w:val="3"/>
        <w:ind w:hanging="0" w:end="0"/>
        <w:jc w:val="center"/>
        <w:rPr>
          <w:b/>
          <w:sz w:val="20"/>
        </w:rPr>
      </w:pPr>
      <w:r>
        <w:rPr>
          <w:b/>
          <w:sz w:val="20"/>
        </w:rPr>
        <w:t>9 Гарантии изготовителя (поставщика)</w:t>
      </w:r>
    </w:p>
    <w:p>
      <w:pPr>
        <w:pStyle w:val="Heading1"/>
        <w:ind w:firstLine="567" w:start="0" w:end="0"/>
        <w:jc w:val="both"/>
        <w:rPr/>
      </w:pPr>
      <w:r>
        <w:rPr>
          <w:i w:val="false"/>
          <w:sz w:val="20"/>
        </w:rPr>
        <w:t>9.1 Изготовитель гарантирует работоспособность и соответствие основных характеристик преобразователя мощности лазерного излучения фотоэлектрического П</w:t>
      </w:r>
      <w:r>
        <w:rPr>
          <w:rFonts w:cs="Times New Roman" w:ascii="Times New Roman" w:hAnsi="Times New Roman"/>
          <w:i w:val="false"/>
          <w:sz w:val="20"/>
        </w:rPr>
        <w:t>Ф1-4</w:t>
      </w:r>
      <w:r>
        <w:rPr>
          <w:i w:val="false"/>
          <w:sz w:val="20"/>
        </w:rPr>
        <w:t xml:space="preserve"> 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6"/>
        </w:rPr>
      </w:pPr>
      <w:r>
        <w:rPr>
          <w:sz w:val="16"/>
        </w:rPr>
      </w:r>
    </w:p>
    <w:p>
      <w:pPr>
        <w:pStyle w:val="Normal"/>
        <w:jc w:val="center"/>
        <w:rPr>
          <w:b/>
        </w:rPr>
      </w:pPr>
      <w:r>
        <w:rPr>
          <w:b/>
        </w:rPr>
        <w:t>10. Свидетельство о приемке</w:t>
      </w:r>
    </w:p>
    <w:p>
      <w:pPr>
        <w:pStyle w:val="Normal"/>
        <w:ind w:firstLine="567" w:end="0"/>
        <w:jc w:val="both"/>
        <w:rPr/>
      </w:pPr>
      <w:r>
        <w:rPr/>
        <w:t>Преобразователь лазерного излучения фотоэлектрический П</w:t>
      </w:r>
      <w:r>
        <w:rPr>
          <w:rFonts w:cs="Times New Roman" w:ascii="Times New Roman" w:hAnsi="Times New Roman"/>
        </w:rPr>
        <w:t>Ф1-4</w:t>
      </w:r>
      <w:r>
        <w:rPr/>
        <w:t xml:space="preserve"> зав.№ 514 признан годным к эксплуатации. </w:t>
      </w:r>
    </w:p>
    <w:p>
      <w:pPr>
        <w:pStyle w:val="Normal"/>
        <w:ind w:firstLine="567" w:end="0"/>
        <w:rPr/>
      </w:pPr>
      <w:r>
        <w:rPr/>
      </w:r>
    </w:p>
    <w:p>
      <w:pPr>
        <w:pStyle w:val="Normal"/>
        <w:spacing w:lineRule="auto" w:line="360"/>
        <w:ind w:firstLine="567" w:end="0"/>
        <w:rPr/>
      </w:pPr>
      <w:r>
        <w:rPr>
          <w:rFonts w:eastAsia="Times New Roman CYR" w:cs="Times New Roman CYR"/>
        </w:rPr>
        <w:t xml:space="preserve">           </w:t>
      </w:r>
      <w:r>
        <w:rPr/>
        <w:t xml:space="preserve">Генеральный директор ООО «ЛАМЕТ»                                       </w:t>
      </w:r>
    </w:p>
    <w:p>
      <w:pPr>
        <w:pStyle w:val="Normal"/>
        <w:spacing w:lineRule="auto" w:line="360"/>
        <w:ind w:firstLine="567" w:end="0"/>
        <w:rPr/>
      </w:pPr>
      <w:r>
        <w:rPr/>
      </w:r>
    </w:p>
    <w:p>
      <w:pPr>
        <w:pStyle w:val="Normal"/>
        <w:spacing w:lineRule="auto" w:line="360"/>
        <w:ind w:firstLine="567" w:end="0"/>
        <w:rPr/>
      </w:pPr>
      <w:r>
        <w:rPr>
          <w:rFonts w:eastAsia="Times New Roman CYR" w:cs="Times New Roman CYR"/>
        </w:rPr>
        <w:t xml:space="preserve">                                </w:t>
      </w:r>
      <w:r>
        <w:rPr/>
        <w:t>_______________________            Рузин М.В.</w:t>
      </w:r>
    </w:p>
    <w:p>
      <w:pPr>
        <w:pStyle w:val="Normal"/>
        <w:ind w:firstLine="567" w:start="-567" w:end="0"/>
        <w:rPr/>
      </w:pPr>
      <w:r>
        <w:rPr/>
      </w:r>
    </w:p>
    <w:p>
      <w:pPr>
        <w:pStyle w:val="Normal"/>
        <w:ind w:firstLine="567" w:end="0"/>
        <w:rPr/>
      </w:pPr>
      <w:r>
        <w:rPr/>
        <w:t>М.П.                                                           «____» _____________ 2016 г.</w:t>
      </w:r>
    </w:p>
    <w:p>
      <w:pPr>
        <w:pStyle w:val="Normal"/>
        <w:rPr/>
      </w:pPr>
      <w:r>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2016-03-25T15:19:00Z</dcterms:created>
  <dc:creator>Alex</dc:creator>
  <dc:description/>
  <cp:keywords/>
  <dc:language>en-US</dc:language>
  <cp:lastModifiedBy>user</cp:lastModifiedBy>
  <cp:lastPrinted>2015-12-25T11:29:00Z</cp:lastPrinted>
  <dcterms:modified xsi:type="dcterms:W3CDTF">2016-04-14T14:11:00Z</dcterms:modified>
  <cp:revision>10</cp:revision>
  <dc:subject/>
  <dc:title> </dc:title>
</cp:coreProperties>
</file>